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优化审批服务事项落实要求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一、改革方式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优化审批服务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二、行政许可事项名称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医疗机构使用放射性药品（三、四类）许可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三、主管部门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西咸新区市场监督管理局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四、审批部门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西咸新区市场监督管理局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五、行政许可事项设定依据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1.《中华人民共和国药品管理法》(2019年8月26日修订) 第一百一十二条　国务院对麻醉药品、精神药品、医疗用毒性药品、放射性药品、药品类易制毒化学品等有其他特殊管理规定的，依照其规定。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.《放射性药品管理办法》(国务院令第25号，2017年3月1日第二次修订)第二十一条医疗单位使用放射性药品，必须符合国家放射性同位素卫生防护管理的有关规定。所在地的省、自治区、直辖市的公安、环保和卫生行政部门，应当根据医疗单位核医疗技术人员的水平、设备条件，核发相应等级的(放射性药品使用许可证)，无许可证的医疗单位不得临床使用放射性药品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六、准予许可条件、标准和技术要求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1.持有陕西省《医疗机构执业许可证》并设有相应的诊疗项目；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2.持有医疗机构所在地环境保护主管部门出具的辐射安全证明文件；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3.具有核医学、药学相关专业并持有卫生主管部门发给的《放射性工作人员证》的技术人员；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4.具有与放射性药品使用相适应的仪器、设备和房屋设施；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5.具有保证放射性药品安全使用的规章制度。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七、具体改革举措及主要理由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不再要求申请人提供人员资历证明等材料。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八、应当提交的材料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应当提交下列材料：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1.《放射性药品使用许可证申请表》；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2.《医疗机构执业许可证》复印件；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3.《辐射安全许可证》复印件；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4.《放射诊疗许可证》复印件；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 诊断、治疗项目目录及所制备、研制和使用放射性药品品种目录表；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 仪器、设施、房屋等设施情况；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 医疗机构自查报告；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 申请材料真实性的自我保证声明；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 法人授权委托书；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10.放射性药品制备、研制和使用场所的基本情况；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11.自制放射性药品全部品种的工艺规程和质量标准；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12.委托检验和备案情况；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九、办理流程图</w:t>
      </w:r>
    </w:p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医疗机构使用放射性药品（三、四类）许可事项办理流程图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bookmarkStart w:id="0" w:name="_GoBack"/>
      <w:bookmarkEnd w:id="0"/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256540</wp:posOffset>
            </wp:positionH>
            <wp:positionV relativeFrom="page">
              <wp:posOffset>2487295</wp:posOffset>
            </wp:positionV>
            <wp:extent cx="4832350" cy="3329305"/>
            <wp:effectExtent l="0" t="0" r="6350" b="4445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t="25732"/>
                    <a:stretch>
                      <a:fillRect/>
                    </a:stretch>
                  </pic:blipFill>
                  <pic:spPr>
                    <a:xfrm>
                      <a:off x="0" y="0"/>
                      <a:ext cx="4832350" cy="332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十、加强事中事后监管措施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1.严格执行有关法律法规和规章，对医疗机构使用放射性药品加强监管。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2.完善药监、卫生健康、生态环境等部门间的协调配合机制，及时共享医疗机构使用放射性药品信息。</w:t>
      </w:r>
    </w:p>
    <w:p>
      <w:pPr>
        <w:numPr>
          <w:ilvl w:val="0"/>
          <w:numId w:val="0"/>
        </w:num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3.实施重点监管，发现违法违规行为要依法严查重处。4.及时向社会公开许可信息，加强社会监督。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F26C6C"/>
    <w:rsid w:val="71CF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zwzx-666</dc:creator>
  <cp:lastModifiedBy>答案</cp:lastModifiedBy>
  <dcterms:modified xsi:type="dcterms:W3CDTF">2021-10-12T01:43:03Z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1D6B4DCB066741DAB0384973E104D65C</vt:lpwstr>
  </property>
</Properties>
</file>